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1E952" w14:textId="77777777" w:rsidR="009F3D61" w:rsidRPr="006D1319" w:rsidRDefault="00000000">
      <w:pPr>
        <w:spacing w:after="80"/>
        <w:rPr>
          <w:color w:val="auto"/>
        </w:rPr>
      </w:pPr>
      <w:r w:rsidRPr="006D1319">
        <w:rPr>
          <w:b/>
          <w:color w:val="auto"/>
          <w:sz w:val="46"/>
        </w:rPr>
        <w:t>NOTA TECNICA</w:t>
      </w:r>
    </w:p>
    <w:p w14:paraId="76D0D4EA" w14:textId="77777777" w:rsidR="009F3D61" w:rsidRPr="006D1319" w:rsidRDefault="00000000">
      <w:pPr>
        <w:spacing w:after="280"/>
        <w:rPr>
          <w:color w:val="auto"/>
        </w:rPr>
      </w:pPr>
      <w:r w:rsidRPr="006D1319">
        <w:rPr>
          <w:color w:val="auto"/>
          <w:sz w:val="28"/>
        </w:rPr>
        <w:t>Azioni regionali 2026 per il contrasto delle avversità emergenti nel settore primario</w:t>
      </w:r>
    </w:p>
    <w:p w14:paraId="448504F3" w14:textId="77777777" w:rsidR="009F3D61" w:rsidRPr="006D1319" w:rsidRDefault="00000000">
      <w:pPr>
        <w:spacing w:after="40"/>
        <w:rPr>
          <w:color w:val="auto"/>
        </w:rPr>
      </w:pPr>
      <w:r w:rsidRPr="006D1319">
        <w:rPr>
          <w:b/>
          <w:color w:val="auto"/>
          <w:sz w:val="21"/>
        </w:rPr>
        <w:t xml:space="preserve">Provvedimento: </w:t>
      </w:r>
      <w:r w:rsidRPr="006D1319">
        <w:rPr>
          <w:color w:val="auto"/>
          <w:sz w:val="21"/>
        </w:rPr>
        <w:t>DGR Veneto n. 893 del 25 agosto 2026</w:t>
      </w:r>
    </w:p>
    <w:p w14:paraId="3E1BC681" w14:textId="77777777" w:rsidR="009F3D61" w:rsidRPr="006D1319" w:rsidRDefault="00000000">
      <w:pPr>
        <w:spacing w:after="40"/>
        <w:rPr>
          <w:color w:val="auto"/>
        </w:rPr>
      </w:pPr>
      <w:r w:rsidRPr="006D1319">
        <w:rPr>
          <w:b/>
          <w:color w:val="auto"/>
          <w:sz w:val="21"/>
        </w:rPr>
        <w:t xml:space="preserve">Pubblicazione: </w:t>
      </w:r>
      <w:r w:rsidRPr="006D1319">
        <w:rPr>
          <w:color w:val="auto"/>
          <w:sz w:val="21"/>
        </w:rPr>
        <w:t>BUR Veneto n. 118 del 1° settembre 2026</w:t>
      </w:r>
    </w:p>
    <w:p w14:paraId="4A9B0FBD" w14:textId="77777777" w:rsidR="009F3D61" w:rsidRPr="006D1319" w:rsidRDefault="00000000">
      <w:pPr>
        <w:spacing w:after="40"/>
        <w:rPr>
          <w:color w:val="auto"/>
        </w:rPr>
      </w:pPr>
      <w:r w:rsidRPr="006D1319">
        <w:rPr>
          <w:b/>
          <w:color w:val="auto"/>
          <w:sz w:val="21"/>
        </w:rPr>
        <w:t xml:space="preserve">Riferimento: </w:t>
      </w:r>
      <w:r w:rsidRPr="006D1319">
        <w:rPr>
          <w:color w:val="auto"/>
          <w:sz w:val="21"/>
        </w:rPr>
        <w:t>Art. 13 della L.R. 27 dicembre 2024, n. 33</w:t>
      </w:r>
    </w:p>
    <w:p w14:paraId="39B7AD70" w14:textId="77777777" w:rsidR="009F3D61" w:rsidRPr="006D1319" w:rsidRDefault="00000000">
      <w:pPr>
        <w:spacing w:after="40"/>
        <w:rPr>
          <w:color w:val="auto"/>
        </w:rPr>
      </w:pPr>
      <w:r w:rsidRPr="006D1319">
        <w:rPr>
          <w:b/>
          <w:color w:val="auto"/>
          <w:sz w:val="21"/>
        </w:rPr>
        <w:t xml:space="preserve">Materia: </w:t>
      </w:r>
      <w:r w:rsidRPr="006D1319">
        <w:rPr>
          <w:color w:val="auto"/>
          <w:sz w:val="21"/>
        </w:rPr>
        <w:t>Settore primario</w:t>
      </w:r>
    </w:p>
    <w:p w14:paraId="56856B1E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1. Finalità e quadro generale</w:t>
      </w:r>
    </w:p>
    <w:p w14:paraId="576B3809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La deliberazione approva il programma regionale per l’anno 2026 volto al contrasto delle avversità emergenti che interessano le produzioni agricole e ittiche. Le azioni derivano dalle risultanze del Tavolo permanente istituito presso Veneto Agricoltura, riunitosi l’11 marzo 2026, con la partecipazione della Regione, degli organismi tecnico-scientifici e delle rappresentanze del settore.</w:t>
      </w:r>
    </w:p>
    <w:p w14:paraId="47519ED1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Il programma prosegue il percorso avviato nel 2025 e concentra le risorse sulla gestione mutualistica del rischio, sulla ricerca fitosanitaria, sulle crisi della pesca e dell’acquacoltura e sulla tutela delle razze ovine autoctone dalla Bluetongue.</w:t>
      </w:r>
    </w:p>
    <w:p w14:paraId="214680D5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2. Dotazione finanziaria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760"/>
        <w:gridCol w:w="1800"/>
        <w:gridCol w:w="1800"/>
      </w:tblGrid>
      <w:tr w:rsidR="009F3D61" w:rsidRPr="006D1319" w14:paraId="50190A52" w14:textId="77777777">
        <w:trPr>
          <w:cantSplit/>
          <w:tblHeader/>
        </w:trPr>
        <w:tc>
          <w:tcPr>
            <w:tcW w:w="57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93B1B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Azione</w:t>
            </w:r>
          </w:p>
        </w:tc>
        <w:tc>
          <w:tcPr>
            <w:tcW w:w="18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D3879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2026</w:t>
            </w:r>
          </w:p>
        </w:tc>
        <w:tc>
          <w:tcPr>
            <w:tcW w:w="18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9C669B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2027</w:t>
            </w:r>
          </w:p>
        </w:tc>
      </w:tr>
      <w:tr w:rsidR="009F3D61" w:rsidRPr="006D1319" w14:paraId="4D8DD240" w14:textId="77777777">
        <w:trPr>
          <w:cantSplit/>
        </w:trPr>
        <w:tc>
          <w:tcPr>
            <w:tcW w:w="5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ADC69A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1. Fondi di mutualità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8E17C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€ 300.000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EF5F0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—</w:t>
            </w:r>
          </w:p>
        </w:tc>
      </w:tr>
      <w:tr w:rsidR="009F3D61" w:rsidRPr="006D1319" w14:paraId="00E01D86" w14:textId="77777777">
        <w:trPr>
          <w:cantSplit/>
        </w:trPr>
        <w:tc>
          <w:tcPr>
            <w:tcW w:w="5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7C7D3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 Difesa fitosanitaria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49DD0C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€ 387.000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1BE59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—</w:t>
            </w:r>
          </w:p>
        </w:tc>
      </w:tr>
      <w:tr w:rsidR="009F3D61" w:rsidRPr="006D1319" w14:paraId="05B0B05F" w14:textId="77777777">
        <w:trPr>
          <w:cantSplit/>
        </w:trPr>
        <w:tc>
          <w:tcPr>
            <w:tcW w:w="5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95235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3. Pesca e acquacoltura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37B65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€ 600.000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11A33F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—</w:t>
            </w:r>
          </w:p>
        </w:tc>
      </w:tr>
      <w:tr w:rsidR="009F3D61" w:rsidRPr="006D1319" w14:paraId="2DA1E8DA" w14:textId="77777777">
        <w:trPr>
          <w:cantSplit/>
        </w:trPr>
        <w:tc>
          <w:tcPr>
            <w:tcW w:w="5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AEDC6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4. Vaccinazione Bluetongue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0A6CA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€ 13.000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7B4F66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€ 13.000</w:t>
            </w:r>
          </w:p>
        </w:tc>
      </w:tr>
      <w:tr w:rsidR="009F3D61" w:rsidRPr="006D1319" w14:paraId="3297EA03" w14:textId="77777777">
        <w:trPr>
          <w:cantSplit/>
        </w:trPr>
        <w:tc>
          <w:tcPr>
            <w:tcW w:w="5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EC325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TOTALE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13504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€ 1.300.000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9B945F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€ 13.000</w:t>
            </w:r>
          </w:p>
        </w:tc>
      </w:tr>
    </w:tbl>
    <w:p w14:paraId="08F94557" w14:textId="77777777" w:rsidR="009F3D61" w:rsidRPr="006D1319" w:rsidRDefault="009F3D61">
      <w:pPr>
        <w:spacing w:after="0"/>
        <w:rPr>
          <w:color w:val="auto"/>
        </w:rPr>
      </w:pPr>
    </w:p>
    <w:p w14:paraId="5DE5E2AF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La copertura è assicurata dal capitolo n. 105442 del Bilancio regionale 2026–2028, denominato “Azioni regionali per il contrasto alle avversità emergenti nel settore primario. Trasferimenti correnti”.</w:t>
      </w:r>
    </w:p>
    <w:p w14:paraId="573649BC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3. Azione 1 – Capitalizzazione dei fondi di mutualizzazione</w:t>
      </w:r>
    </w:p>
    <w:p w14:paraId="58B79C4B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La Regione destina 300.000 euro alla capitalizzazione dei fondi di mutualizzazione per le fitopatie della vite riconosciuti dal MASAF e operanti in Veneto. L’obiettivo è aumentare la capacità dei fondi di corrispondere compensazioni alle imprese agricole che hanno subito danni produttivi.</w:t>
      </w:r>
    </w:p>
    <w:p w14:paraId="16F3D1C6" w14:textId="77777777" w:rsidR="009F3D61" w:rsidRPr="006D1319" w:rsidRDefault="00000000">
      <w:pPr>
        <w:pStyle w:val="Titolo2"/>
        <w:rPr>
          <w:color w:val="auto"/>
        </w:rPr>
      </w:pPr>
      <w:r w:rsidRPr="006D1319">
        <w:rPr>
          <w:color w:val="auto"/>
        </w:rPr>
        <w:lastRenderedPageBreak/>
        <w:t>Beneficiari e condizioni</w:t>
      </w:r>
    </w:p>
    <w:p w14:paraId="22C35B51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Il soggetto richiedente è l’ente gestore del fondo, non la singola impresa agricola. Sono ammessi gli enti gestori riconosciuti dal MASAF che abbiano tra gli aderenti aziende con sede legale in Veneto e che abbiano attivato nel 2025 un fondo per le fitopatie della vite.</w:t>
      </w:r>
    </w:p>
    <w:p w14:paraId="3B9309B8" w14:textId="77777777" w:rsidR="009F3D61" w:rsidRPr="006D1319" w:rsidRDefault="00000000">
      <w:pPr>
        <w:pStyle w:val="Puntoelenco"/>
        <w:spacing w:after="100" w:line="264" w:lineRule="auto"/>
        <w:rPr>
          <w:color w:val="auto"/>
        </w:rPr>
      </w:pPr>
      <w:r w:rsidRPr="006D1319">
        <w:rPr>
          <w:color w:val="auto"/>
        </w:rPr>
        <w:t>L’aiuto può coprire fino al 70% delle compensazioni finanziarie spettanti agli agricoltori.</w:t>
      </w:r>
    </w:p>
    <w:p w14:paraId="12E8A2C6" w14:textId="77777777" w:rsidR="009F3D61" w:rsidRPr="006D1319" w:rsidRDefault="00000000">
      <w:pPr>
        <w:pStyle w:val="Puntoelenco"/>
        <w:spacing w:after="100" w:line="264" w:lineRule="auto"/>
        <w:rPr>
          <w:color w:val="auto"/>
        </w:rPr>
      </w:pPr>
      <w:r w:rsidRPr="006D1319">
        <w:rPr>
          <w:color w:val="auto"/>
        </w:rPr>
        <w:t>Le risorse sono ripartite proporzionalmente al numero di imprese venete aderenti che nel 2025 hanno presentato domanda di copertura mutualistica.</w:t>
      </w:r>
    </w:p>
    <w:p w14:paraId="01B951FC" w14:textId="77777777" w:rsidR="009F3D61" w:rsidRPr="006D1319" w:rsidRDefault="00000000">
      <w:pPr>
        <w:pStyle w:val="Puntoelenco"/>
        <w:spacing w:after="100" w:line="264" w:lineRule="auto"/>
        <w:rPr>
          <w:color w:val="auto"/>
        </w:rPr>
      </w:pPr>
      <w:r w:rsidRPr="006D1319">
        <w:rPr>
          <w:color w:val="auto"/>
        </w:rPr>
        <w:t>Il beneficiario finale è l’impresa agricola; l’aiuto è applicato nel regime “de minimis” agricolo.</w:t>
      </w:r>
    </w:p>
    <w:p w14:paraId="3D8AF209" w14:textId="77777777" w:rsidR="009F3D61" w:rsidRPr="006D1319" w:rsidRDefault="00000000">
      <w:pPr>
        <w:pStyle w:val="Titolo2"/>
        <w:rPr>
          <w:color w:val="auto"/>
        </w:rPr>
      </w:pPr>
      <w:r w:rsidRPr="006D1319">
        <w:rPr>
          <w:color w:val="auto"/>
        </w:rPr>
        <w:t>Termini e gestione</w:t>
      </w:r>
    </w:p>
    <w:p w14:paraId="167413AC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La domanda dell’ente gestore deve essere presentata ad AVEPA entro 45 giorni dalla pubblicazione della DGR nel BUR. Il termine, calcolato dal 1° settembre 2026, è il 16 ottobre 2026, salvo diverse indicazioni operative di AVEPA. L’istruttoria deve concludersi entro 60 giorni.</w:t>
      </w:r>
    </w:p>
    <w:p w14:paraId="7E237423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Gli indennizzi devono essere liquidati agli agricoltori entro 12 mesi dalla pubblicazione nel BUR del decreto AVEPA di concessione dell’aiuto.</w:t>
      </w:r>
    </w:p>
    <w:p w14:paraId="312B6DEF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4. Azione 2 – Prove sperimentali di difesa fitosanitaria</w:t>
      </w:r>
    </w:p>
    <w:p w14:paraId="6A25302E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Lo stanziamento complessivo di 387.000 euro finanzia cinque attività di ricerca, sperimentazione, diagnostica e monitoraggio. Non si tratta di contributi richiesti direttamente dalle aziende agricole.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000"/>
        <w:gridCol w:w="4700"/>
        <w:gridCol w:w="2400"/>
        <w:gridCol w:w="1260"/>
      </w:tblGrid>
      <w:tr w:rsidR="009F3D61" w:rsidRPr="006D1319" w14:paraId="1F3C7DB7" w14:textId="77777777">
        <w:trPr>
          <w:cantSplit/>
          <w:tblHeader/>
        </w:trPr>
        <w:tc>
          <w:tcPr>
            <w:tcW w:w="10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6440E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Sottoazione</w:t>
            </w:r>
          </w:p>
        </w:tc>
        <w:tc>
          <w:tcPr>
            <w:tcW w:w="47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DA3C6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Contenuto</w:t>
            </w:r>
          </w:p>
        </w:tc>
        <w:tc>
          <w:tcPr>
            <w:tcW w:w="240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60E933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Attuatore</w:t>
            </w:r>
          </w:p>
        </w:tc>
        <w:tc>
          <w:tcPr>
            <w:tcW w:w="1260" w:type="dxa"/>
            <w:shd w:val="clear" w:color="auto" w:fill="1F4D7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DF368C" w14:textId="77777777" w:rsidR="009F3D61" w:rsidRPr="006D1319" w:rsidRDefault="00000000">
            <w:pPr>
              <w:spacing w:after="0"/>
              <w:rPr>
                <w:color w:val="auto"/>
              </w:rPr>
            </w:pPr>
            <w:r w:rsidRPr="006D1319">
              <w:rPr>
                <w:b/>
                <w:color w:val="auto"/>
                <w:sz w:val="18"/>
              </w:rPr>
              <w:t>Importo</w:t>
            </w:r>
          </w:p>
        </w:tc>
      </w:tr>
      <w:tr w:rsidR="009F3D61" w:rsidRPr="006D1319" w14:paraId="27F0041E" w14:textId="77777777">
        <w:trPr>
          <w:cantSplit/>
        </w:trPr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AF9BB0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2.1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F49058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Asparago: ruggine e stemfiliosi; prodotti alternativi ai fungicidi di sintesi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25EE6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Università di Padova – TESAF</w:t>
            </w:r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FA314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€ 17.000</w:t>
            </w:r>
          </w:p>
        </w:tc>
      </w:tr>
      <w:tr w:rsidR="009F3D61" w:rsidRPr="006D1319" w14:paraId="2FDEE0F9" w14:textId="77777777">
        <w:trPr>
          <w:cantSplit/>
        </w:trPr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AC22C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2.2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57F292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Peperone in serra: formulati a basso impatto contro gli afidi e compatibilità con gli ausiliari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183B0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Università di Verona – Biotecnologie</w:t>
            </w:r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25B6B4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€ 23.000</w:t>
            </w:r>
          </w:p>
        </w:tc>
      </w:tr>
      <w:tr w:rsidR="009F3D61" w:rsidRPr="006D1319" w14:paraId="7A53E5ED" w14:textId="77777777">
        <w:trPr>
          <w:cantSplit/>
        </w:trPr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9722C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2.3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DC0ED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Melo e noce: patogeni fungini, in particolare Colletotrichum spp.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EF0DC1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Università di Padova – TESAF</w:t>
            </w:r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F6DCC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€ 100.000</w:t>
            </w:r>
          </w:p>
        </w:tc>
      </w:tr>
      <w:tr w:rsidR="009F3D61" w:rsidRPr="006D1319" w14:paraId="39D73498" w14:textId="77777777">
        <w:trPr>
          <w:cantSplit/>
        </w:trPr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A8A57D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2.4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197F0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Monitoraggio e contrasto di cimice asiatica e Popillia japonica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E787B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Veneto Agricoltura</w:t>
            </w:r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0B330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€ 207.000</w:t>
            </w:r>
          </w:p>
        </w:tc>
      </w:tr>
      <w:tr w:rsidR="009F3D61" w:rsidRPr="006D1319" w14:paraId="587C1E14" w14:textId="77777777">
        <w:trPr>
          <w:cantSplit/>
        </w:trPr>
        <w:tc>
          <w:tcPr>
            <w:tcW w:w="1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98FDA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2.5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E04F7F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Diagnostica dei vettori della Flavescenza dorata e di organismi da quarantena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6A8E9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Università di Verona – Biotecnologie</w:t>
            </w:r>
          </w:p>
        </w:tc>
        <w:tc>
          <w:tcPr>
            <w:tcW w:w="12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AAA17" w14:textId="77777777" w:rsidR="009F3D61" w:rsidRPr="006D1319" w:rsidRDefault="00000000">
            <w:pPr>
              <w:spacing w:after="0" w:line="252" w:lineRule="auto"/>
              <w:rPr>
                <w:color w:val="auto"/>
              </w:rPr>
            </w:pPr>
            <w:r w:rsidRPr="006D1319">
              <w:rPr>
                <w:color w:val="auto"/>
                <w:sz w:val="18"/>
              </w:rPr>
              <w:t>€ 40.000</w:t>
            </w:r>
          </w:p>
        </w:tc>
      </w:tr>
    </w:tbl>
    <w:p w14:paraId="2C9ACA6C" w14:textId="77777777" w:rsidR="009F3D61" w:rsidRPr="006D1319" w:rsidRDefault="009F3D61">
      <w:pPr>
        <w:spacing w:after="0"/>
        <w:rPr>
          <w:color w:val="auto"/>
        </w:rPr>
      </w:pPr>
    </w:p>
    <w:p w14:paraId="49544CF4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I risultati attesi comprendono soluzioni fitosanitarie a minore impatto, strumenti diagnostici molecolari, prove di efficacia in pieno campo, mappe e dati settimanali sull’andamento delle catture e supporto alla definizione di strategie regionali mirate.</w:t>
      </w:r>
    </w:p>
    <w:p w14:paraId="4218FD90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lastRenderedPageBreak/>
        <w:t>5. Azione 3 – Pesca professionale e acquacoltura</w:t>
      </w:r>
    </w:p>
    <w:p w14:paraId="53C45DBF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La Regione assegna 600.000 euro per fronteggiare gli effetti dell’invasione del Granchio blu, delle alte temperature, delle mucillagini e della conseguente crisi delle produzioni di vongole e cozze. Veneto Agricoltura è il soggetto attuatore.</w:t>
      </w:r>
    </w:p>
    <w:p w14:paraId="2F4D3976" w14:textId="77777777" w:rsidR="009F3D61" w:rsidRPr="006D1319" w:rsidRDefault="00000000">
      <w:pPr>
        <w:pStyle w:val="Titolo2"/>
        <w:rPr>
          <w:color w:val="auto"/>
        </w:rPr>
      </w:pPr>
      <w:r w:rsidRPr="006D1319">
        <w:rPr>
          <w:color w:val="auto"/>
        </w:rPr>
        <w:t>3.1 – Venericoltura a bassa densità in Laguna Nord (€ 50.000)</w:t>
      </w:r>
    </w:p>
    <w:p w14:paraId="40A22BE0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L’intervento integra il progetto pilota nell’area “Piloni” e sostiene la classificazione sanitaria di nuove aree, la valutazione della risorsa vongola, la rotazione delle aree di raccolta e la tracciabilità di imbarcazioni e lotti. Il soggetto esecutore sarà individuato con procedura a evidenza pubblica.</w:t>
      </w:r>
    </w:p>
    <w:p w14:paraId="2879F935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È prevista una procedura per sovvenzionare l’installazione dei sistemi di tracciabilità a bordo, nel limite “de minimis” indicato dalla DGR di 40.000 euro per impresa nell’arco di tre esercizi finanziari. Sono ammissibili le spese sostenute dal 1° gennaio al 31 dicembre 2026.</w:t>
      </w:r>
    </w:p>
    <w:p w14:paraId="6A5A2F02" w14:textId="77777777" w:rsidR="009F3D61" w:rsidRPr="006D1319" w:rsidRDefault="00000000">
      <w:pPr>
        <w:pStyle w:val="Titolo2"/>
        <w:rPr>
          <w:color w:val="auto"/>
        </w:rPr>
      </w:pPr>
      <w:r w:rsidRPr="006D1319">
        <w:rPr>
          <w:color w:val="auto"/>
        </w:rPr>
        <w:t>3.2 – Raccolta e stoccaggio del Granchio blu (€ 80.000)</w:t>
      </w:r>
    </w:p>
    <w:p w14:paraId="20CA47E1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Le risorse finanziano il noleggio di due celle frigorifere e di due muletti, oltre a materiali, attrezzature, prestazioni e personale dedicato necessari allo stoccaggio degli esemplari non commercializzabili destinati allo smaltimento. Sono ammissibili le spese sostenute nel 2026.</w:t>
      </w:r>
    </w:p>
    <w:p w14:paraId="0B3448A6" w14:textId="77777777" w:rsidR="009F3D61" w:rsidRPr="006D1319" w:rsidRDefault="00000000">
      <w:pPr>
        <w:pStyle w:val="Titolo2"/>
        <w:rPr>
          <w:color w:val="auto"/>
        </w:rPr>
      </w:pPr>
      <w:r w:rsidRPr="006D1319">
        <w:rPr>
          <w:color w:val="auto"/>
        </w:rPr>
        <w:t>3.3 – Ricostituzione degli stock di molluschi bivalvi (€ 470.000)</w:t>
      </w:r>
    </w:p>
    <w:p w14:paraId="6FD3CDD6" w14:textId="77777777" w:rsidR="009F3D61" w:rsidRPr="006D1319" w:rsidRDefault="00000000">
      <w:pPr>
        <w:pStyle w:val="Puntoelenco"/>
        <w:spacing w:after="100" w:line="264" w:lineRule="auto"/>
        <w:rPr>
          <w:color w:val="auto"/>
        </w:rPr>
      </w:pPr>
      <w:r w:rsidRPr="006D1319">
        <w:rPr>
          <w:color w:val="auto"/>
        </w:rPr>
        <w:t>170.000 euro per acquisto e immissione di semina nelle aree ripulite e ossigenate, tramite i Consorzi di Chioggia e Venezia.</w:t>
      </w:r>
    </w:p>
    <w:p w14:paraId="2B8C7A2A" w14:textId="77777777" w:rsidR="009F3D61" w:rsidRPr="006D1319" w:rsidRDefault="00000000">
      <w:pPr>
        <w:pStyle w:val="Puntoelenco"/>
        <w:spacing w:after="100" w:line="264" w:lineRule="auto"/>
        <w:rPr>
          <w:color w:val="auto"/>
        </w:rPr>
      </w:pPr>
      <w:r w:rsidRPr="006D1319">
        <w:rPr>
          <w:color w:val="auto"/>
        </w:rPr>
        <w:t>300.000 euro per sovvenzioni, mediante procedura pubblica, alla manutenzione straordinaria delle imbarcazioni ferme dall’ottobre 2024, al fine di ripristinarne operatività e sicurezza.</w:t>
      </w:r>
    </w:p>
    <w:p w14:paraId="473754A1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Per le sovvenzioni alle imprese si applica il limite “de minimis” indicato dalla DGR di 40.000 euro per impresa in tre esercizi finanziari. Le spese sono ammissibili a partire dal 1° gennaio 2026.</w:t>
      </w:r>
    </w:p>
    <w:p w14:paraId="30B6873F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6. Azione 4 – Vaccinazione contro la Bluetongue</w:t>
      </w:r>
    </w:p>
    <w:p w14:paraId="656F3ECC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L’azione dispone 13.000 euro per il 2026 e 13.000 euro per il 2027 per promuovere la vaccinazione volontaria degli ovini appartenenti alle razze autoctone a rischio di estinzione: Brogna, Alpagota, Foza e Lamon.</w:t>
      </w:r>
    </w:p>
    <w:p w14:paraId="77C8F9D0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>ARAV – Associazione Regionale Allevatori del Veneto è individuata quale soggetto attuatore e interfaccia con gli allevatori. Il contributo pubblico copre le spese di acquisto dei vaccini sostenute dagli allevatori. La misura mira a ridurre mortalità e danni riproduttivi, consentire la movimentazione dei riproduttori e salvaguardare la biodiversità zootecnica regionale.</w:t>
      </w:r>
    </w:p>
    <w:p w14:paraId="664C35AF" w14:textId="77777777" w:rsidR="006D1319" w:rsidRDefault="006D1319">
      <w:pPr>
        <w:pStyle w:val="Titolo1"/>
        <w:rPr>
          <w:color w:val="auto"/>
        </w:rPr>
      </w:pPr>
    </w:p>
    <w:p w14:paraId="350508C6" w14:textId="77777777" w:rsidR="009F3D61" w:rsidRPr="006D1319" w:rsidRDefault="009F3D61">
      <w:pPr>
        <w:spacing w:after="0"/>
        <w:rPr>
          <w:color w:val="auto"/>
        </w:rPr>
      </w:pPr>
    </w:p>
    <w:p w14:paraId="30BBCF50" w14:textId="68FC0575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lastRenderedPageBreak/>
        <w:t xml:space="preserve"> Conclusioni</w:t>
      </w:r>
    </w:p>
    <w:p w14:paraId="300D002A" w14:textId="77777777" w:rsidR="009F3D61" w:rsidRPr="006D1319" w:rsidRDefault="00000000">
      <w:pPr>
        <w:rPr>
          <w:color w:val="auto"/>
        </w:rPr>
      </w:pPr>
      <w:r w:rsidRPr="006D1319">
        <w:rPr>
          <w:color w:val="auto"/>
        </w:rPr>
        <w:t xml:space="preserve">La DGR n. 893/2026 </w:t>
      </w:r>
      <w:r w:rsidRPr="006D1319">
        <w:rPr>
          <w:b/>
          <w:bCs/>
          <w:color w:val="auto"/>
          <w:u w:val="single"/>
        </w:rPr>
        <w:t>non istituisce un unico bando rivolto indistintamente alle imprese</w:t>
      </w:r>
      <w:r w:rsidRPr="006D1319">
        <w:rPr>
          <w:color w:val="auto"/>
        </w:rPr>
        <w:t>. Il provvedimento combina un bando per gli enti gestori dei fondi mutualistici viticoli, attività tecnico-scientifiche affidate a università e Veneto Agricoltura, interventi attuativi per pesca e acquacoltura e una convenzione con ARAV per la vaccinazione delle razze ovine autoctone.</w:t>
      </w:r>
    </w:p>
    <w:p w14:paraId="7DCC0566" w14:textId="77777777" w:rsidR="009F3D61" w:rsidRPr="006D1319" w:rsidRDefault="00000000">
      <w:pPr>
        <w:pStyle w:val="Titolo1"/>
        <w:rPr>
          <w:color w:val="auto"/>
        </w:rPr>
      </w:pPr>
      <w:r w:rsidRPr="006D1319">
        <w:rPr>
          <w:color w:val="auto"/>
        </w:rPr>
        <w:t>Fonte</w:t>
      </w:r>
    </w:p>
    <w:p w14:paraId="16F81876" w14:textId="77777777" w:rsidR="009F3D61" w:rsidRDefault="00000000">
      <w:r w:rsidRPr="006D1319">
        <w:rPr>
          <w:color w:val="auto"/>
          <w:sz w:val="19"/>
        </w:rPr>
        <w:t>Regione del Veneto, DGR n. 893 del 25 agosto 2026, pubblicata nel BUR n. 118 del 1° settembre 2026, con allegati A–L. Testo ufficiale: https://bur.regione.veneto.it/BurvServices/pubblica/</w:t>
      </w:r>
      <w:r>
        <w:rPr>
          <w:color w:val="666666"/>
          <w:sz w:val="19"/>
        </w:rPr>
        <w:t>DettaglioDgr.aspx?id=590596</w:t>
      </w:r>
    </w:p>
    <w:sectPr w:rsidR="009F3D61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CDBA1" w14:textId="77777777" w:rsidR="009E0EAF" w:rsidRDefault="009E0EAF">
      <w:pPr>
        <w:spacing w:after="0" w:line="240" w:lineRule="auto"/>
      </w:pPr>
      <w:r>
        <w:separator/>
      </w:r>
    </w:p>
  </w:endnote>
  <w:endnote w:type="continuationSeparator" w:id="0">
    <w:p w14:paraId="3323A771" w14:textId="77777777" w:rsidR="009E0EAF" w:rsidRDefault="009E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B383" w14:textId="77777777" w:rsidR="009F3D61" w:rsidRDefault="00000000">
    <w:pPr>
      <w:pStyle w:val="Pidipagina"/>
      <w:jc w:val="right"/>
    </w:pPr>
    <w:r>
      <w:rPr>
        <w:color w:val="666666"/>
        <w:sz w:val="17"/>
      </w:rPr>
      <w:t xml:space="preserve">DGR Veneto n. 893/2026  •  </w:t>
    </w:r>
    <w:r>
      <w:fldChar w:fldCharType="begin"/>
    </w:r>
    <w:r>
      <w:instrText>PAGE</w:instrText>
    </w:r>
    <w:r>
      <w:fldChar w:fldCharType="separate"/>
    </w:r>
    <w:r w:rsidR="006D131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38C3" w14:textId="77777777" w:rsidR="009E0EAF" w:rsidRDefault="009E0EAF">
      <w:pPr>
        <w:spacing w:after="0" w:line="240" w:lineRule="auto"/>
      </w:pPr>
      <w:r>
        <w:separator/>
      </w:r>
    </w:p>
  </w:footnote>
  <w:footnote w:type="continuationSeparator" w:id="0">
    <w:p w14:paraId="65269F0D" w14:textId="77777777" w:rsidR="009E0EAF" w:rsidRDefault="009E0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73FE" w14:textId="77777777" w:rsidR="009F3D61" w:rsidRDefault="00000000">
    <w:pPr>
      <w:pStyle w:val="Intestazione"/>
    </w:pPr>
    <w:r>
      <w:rPr>
        <w:noProof/>
      </w:rPr>
      <w:drawing>
        <wp:inline distT="0" distB="0" distL="0" distR="0" wp14:anchorId="10A5B7EF" wp14:editId="408E0332">
          <wp:extent cx="749808" cy="4976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a-veneto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808" cy="49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666666"/>
        <w:sz w:val="17"/>
      </w:rPr>
      <w:tab/>
      <w:t>NOTA TECNICA  |  CIA VENETO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8001170">
    <w:abstractNumId w:val="8"/>
  </w:num>
  <w:num w:numId="2" w16cid:durableId="958338084">
    <w:abstractNumId w:val="6"/>
  </w:num>
  <w:num w:numId="3" w16cid:durableId="2014646711">
    <w:abstractNumId w:val="5"/>
  </w:num>
  <w:num w:numId="4" w16cid:durableId="1053038670">
    <w:abstractNumId w:val="4"/>
  </w:num>
  <w:num w:numId="5" w16cid:durableId="1879315896">
    <w:abstractNumId w:val="7"/>
  </w:num>
  <w:num w:numId="6" w16cid:durableId="2039235592">
    <w:abstractNumId w:val="3"/>
  </w:num>
  <w:num w:numId="7" w16cid:durableId="1906065610">
    <w:abstractNumId w:val="2"/>
  </w:num>
  <w:num w:numId="8" w16cid:durableId="2105566199">
    <w:abstractNumId w:val="1"/>
  </w:num>
  <w:num w:numId="9" w16cid:durableId="1470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29A9"/>
    <w:rsid w:val="0029639D"/>
    <w:rsid w:val="00326F90"/>
    <w:rsid w:val="00680290"/>
    <w:rsid w:val="006D1319"/>
    <w:rsid w:val="009E0EAF"/>
    <w:rsid w:val="009F3D61"/>
    <w:rsid w:val="00A9734F"/>
    <w:rsid w:val="00AA1D8D"/>
    <w:rsid w:val="00B47730"/>
    <w:rsid w:val="00CB0664"/>
    <w:rsid w:val="00D86869"/>
    <w:rsid w:val="00E16319"/>
    <w:rsid w:val="00FB2C57"/>
    <w:rsid w:val="00FC693F"/>
    <w:rsid w:val="00FD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576C0"/>
  <w14:defaultImageDpi w14:val="300"/>
  <w15:docId w15:val="{3066405E-42E9-49BE-9BB1-278752C7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 w:line="264" w:lineRule="auto"/>
    </w:pPr>
    <w:rPr>
      <w:rFonts w:ascii="Calibri" w:hAnsi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F4D78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spacing w:after="160" w:line="280" w:lineRule="auto"/>
      <w:ind w:left="720"/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tecnica – DGR Veneto n. 893/2026</dc:title>
  <dc:subject>Azioni 2026 per il contrasto delle avversità emergenti nel settore primario</dc:subject>
  <dc:creator>CIA – Agricoltori Italiani</dc:creator>
  <cp:keywords/>
  <dc:description>generated by python-docx</dc:description>
  <cp:lastModifiedBy>Maurizio Antonini</cp:lastModifiedBy>
  <cp:revision>4</cp:revision>
  <dcterms:created xsi:type="dcterms:W3CDTF">2026-09-04T10:18:00Z</dcterms:created>
  <dcterms:modified xsi:type="dcterms:W3CDTF">2026-09-04T10:19:00Z</dcterms:modified>
  <cp:category/>
</cp:coreProperties>
</file>